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47E64" w:rsidRPr="00B47E64" w:rsidRDefault="00B47E64" w:rsidP="00B47E64">
      <w:pPr>
        <w:shd w:val="clear" w:color="auto" w:fill="FFFFFF"/>
        <w:spacing w:after="0" w:line="240" w:lineRule="auto"/>
        <w:ind w:firstLine="312"/>
        <w:jc w:val="center"/>
        <w:rPr>
          <w:rFonts w:ascii="Times New Roman" w:eastAsia="Times New Roman" w:hAnsi="Times New Roman" w:cs="Times New Roman"/>
          <w:b/>
          <w:sz w:val="28"/>
          <w:szCs w:val="28"/>
          <w:lang w:val="kk-KZ" w:eastAsia="ru-RU"/>
        </w:rPr>
      </w:pPr>
      <w:r w:rsidRPr="00B47E64">
        <w:rPr>
          <w:rFonts w:ascii="Times New Roman" w:eastAsia="Times New Roman" w:hAnsi="Times New Roman" w:cs="Times New Roman"/>
          <w:b/>
          <w:sz w:val="28"/>
          <w:szCs w:val="28"/>
          <w:lang w:val="kk-KZ" w:eastAsia="ru-RU"/>
        </w:rPr>
        <w:t xml:space="preserve">Суды әкелу мен үлестіру жүйесіндегі ғимараттар жұмысының </w:t>
      </w:r>
    </w:p>
    <w:p w:rsidR="00B47E64" w:rsidRPr="00B47E64" w:rsidRDefault="00B47E64" w:rsidP="00B47E64">
      <w:pPr>
        <w:shd w:val="clear" w:color="auto" w:fill="FFFFFF"/>
        <w:spacing w:after="0" w:line="240" w:lineRule="auto"/>
        <w:ind w:firstLine="312"/>
        <w:jc w:val="center"/>
        <w:rPr>
          <w:rFonts w:ascii="Times New Roman" w:eastAsia="Times New Roman" w:hAnsi="Times New Roman" w:cs="Times New Roman"/>
          <w:i/>
          <w:sz w:val="28"/>
          <w:szCs w:val="28"/>
          <w:lang w:val="kk-KZ" w:eastAsia="ru-RU"/>
        </w:rPr>
      </w:pPr>
      <w:r w:rsidRPr="00B47E64">
        <w:rPr>
          <w:rFonts w:ascii="Times New Roman" w:eastAsia="Times New Roman" w:hAnsi="Times New Roman" w:cs="Times New Roman"/>
          <w:b/>
          <w:sz w:val="28"/>
          <w:szCs w:val="28"/>
          <w:lang w:val="kk-KZ" w:eastAsia="ru-RU"/>
        </w:rPr>
        <w:t>өзара байланысы</w:t>
      </w:r>
    </w:p>
    <w:p w:rsidR="00B47E64" w:rsidRPr="00B47E64" w:rsidRDefault="00B47E64" w:rsidP="00B47E64">
      <w:pPr>
        <w:spacing w:after="0" w:line="240" w:lineRule="auto"/>
        <w:rPr>
          <w:rFonts w:ascii="Times New Roman" w:eastAsia="Times New Roman" w:hAnsi="Times New Roman" w:cs="Times New Roman"/>
          <w:sz w:val="28"/>
          <w:szCs w:val="28"/>
          <w:lang w:val="kk-KZ" w:eastAsia="ru-RU"/>
        </w:rPr>
      </w:pPr>
      <w:r w:rsidRPr="00B47E64">
        <w:rPr>
          <w:rFonts w:ascii="Times New Roman" w:eastAsia="Times New Roman" w:hAnsi="Times New Roman" w:cs="Times New Roman"/>
          <w:sz w:val="28"/>
          <w:szCs w:val="28"/>
          <w:lang w:val="kk-KZ" w:eastAsia="ru-RU"/>
        </w:rPr>
        <w:tab/>
      </w:r>
    </w:p>
    <w:p w:rsidR="00B47E64" w:rsidRPr="00B47E64" w:rsidRDefault="00B47E64" w:rsidP="00B47E64">
      <w:pPr>
        <w:spacing w:after="0" w:line="240" w:lineRule="auto"/>
        <w:ind w:firstLine="708"/>
        <w:jc w:val="both"/>
        <w:rPr>
          <w:rFonts w:ascii="Times New Roman" w:eastAsia="Times New Roman" w:hAnsi="Times New Roman" w:cs="Times New Roman"/>
          <w:sz w:val="28"/>
          <w:szCs w:val="28"/>
          <w:lang w:val="kk-KZ" w:eastAsia="ru-RU"/>
        </w:rPr>
      </w:pPr>
      <w:r w:rsidRPr="00B47E64">
        <w:rPr>
          <w:rFonts w:ascii="Times New Roman" w:eastAsia="Times New Roman" w:hAnsi="Times New Roman" w:cs="Times New Roman"/>
          <w:sz w:val="28"/>
          <w:szCs w:val="28"/>
          <w:lang w:val="kk-KZ" w:eastAsia="ru-RU"/>
        </w:rPr>
        <w:t xml:space="preserve"> Жүйе ғимараттарының өзара орналасуы, суды тұтынудың есептік графигі, тәуліктік су шығындары анықталғаннан кейін су тұтыну тәртібін қамтамасыз ететін әр ғимараттардың жұмыс тәртібі белгіленеді.</w:t>
      </w:r>
    </w:p>
    <w:p w:rsidR="00B47E64" w:rsidRPr="00B47E64" w:rsidRDefault="00B47E64" w:rsidP="00B47E64">
      <w:pPr>
        <w:spacing w:after="0" w:line="240" w:lineRule="auto"/>
        <w:ind w:firstLine="708"/>
        <w:jc w:val="both"/>
        <w:rPr>
          <w:rFonts w:ascii="Times New Roman" w:eastAsia="Times New Roman" w:hAnsi="Times New Roman" w:cs="Times New Roman"/>
          <w:sz w:val="28"/>
          <w:szCs w:val="28"/>
          <w:lang w:val="kk-KZ" w:eastAsia="ru-RU"/>
        </w:rPr>
      </w:pPr>
    </w:p>
    <w:p w:rsidR="00B47E64" w:rsidRPr="00B47E64" w:rsidRDefault="00B47E64" w:rsidP="00B47E64">
      <w:pPr>
        <w:spacing w:after="0" w:line="240" w:lineRule="auto"/>
        <w:ind w:firstLine="708"/>
        <w:jc w:val="both"/>
        <w:rPr>
          <w:rFonts w:ascii="Times New Roman" w:eastAsia="Times New Roman" w:hAnsi="Times New Roman" w:cs="Times New Roman"/>
          <w:sz w:val="28"/>
          <w:szCs w:val="28"/>
          <w:lang w:val="kk-KZ" w:eastAsia="ru-RU"/>
        </w:rPr>
      </w:pPr>
      <w:bookmarkStart w:id="0" w:name="_GoBack"/>
      <w:r w:rsidRPr="00B47E64">
        <w:rPr>
          <w:rFonts w:ascii="Times New Roman" w:eastAsia="SimSun" w:hAnsi="Times New Roman" w:cs="Times New Roman"/>
          <w:b/>
          <w:i/>
          <w:noProof/>
          <w:sz w:val="48"/>
          <w:szCs w:val="48"/>
          <w:lang w:eastAsia="ru-RU"/>
        </w:rPr>
        <w:drawing>
          <wp:inline distT="0" distB="0" distL="0" distR="0">
            <wp:extent cx="4667250" cy="2257425"/>
            <wp:effectExtent l="0" t="0" r="0" b="9525"/>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4667250" cy="2257425"/>
                    </a:xfrm>
                    <a:prstGeom prst="rect">
                      <a:avLst/>
                    </a:prstGeom>
                    <a:noFill/>
                    <a:ln>
                      <a:noFill/>
                    </a:ln>
                  </pic:spPr>
                </pic:pic>
              </a:graphicData>
            </a:graphic>
          </wp:inline>
        </w:drawing>
      </w:r>
      <w:bookmarkEnd w:id="0"/>
    </w:p>
    <w:p w:rsidR="00B47E64" w:rsidRPr="00B47E64" w:rsidRDefault="00B47E64" w:rsidP="00B47E64">
      <w:pPr>
        <w:spacing w:after="0" w:line="240" w:lineRule="auto"/>
        <w:rPr>
          <w:rFonts w:ascii="Times New Roman" w:eastAsia="Times New Roman" w:hAnsi="Times New Roman" w:cs="Times New Roman"/>
          <w:sz w:val="28"/>
          <w:szCs w:val="28"/>
          <w:lang w:val="kk-KZ" w:eastAsia="ru-RU"/>
        </w:rPr>
      </w:pPr>
    </w:p>
    <w:p w:rsidR="00B47E64" w:rsidRPr="00B47E64" w:rsidRDefault="00B47E64" w:rsidP="00B47E64">
      <w:pPr>
        <w:spacing w:after="0" w:line="240" w:lineRule="auto"/>
        <w:rPr>
          <w:rFonts w:ascii="Times New Roman" w:eastAsia="Times New Roman" w:hAnsi="Times New Roman" w:cs="Times New Roman"/>
          <w:sz w:val="28"/>
          <w:szCs w:val="28"/>
          <w:lang w:val="kk-KZ" w:eastAsia="ru-RU"/>
        </w:rPr>
      </w:pPr>
      <w:r w:rsidRPr="00B47E64">
        <w:rPr>
          <w:rFonts w:ascii="Times New Roman" w:eastAsia="Times New Roman" w:hAnsi="Times New Roman" w:cs="Times New Roman"/>
          <w:sz w:val="28"/>
          <w:szCs w:val="28"/>
          <w:lang w:val="kk-KZ" w:eastAsia="ru-RU"/>
        </w:rPr>
        <w:t>2.1-сурет. Суды үлестіру мен тұтыну графигі:</w:t>
      </w:r>
    </w:p>
    <w:p w:rsidR="00B47E64" w:rsidRPr="00B47E64" w:rsidRDefault="00B47E64" w:rsidP="00B47E64">
      <w:pPr>
        <w:spacing w:after="0" w:line="240" w:lineRule="auto"/>
        <w:ind w:firstLine="708"/>
        <w:rPr>
          <w:rFonts w:ascii="Times New Roman" w:eastAsia="Times New Roman" w:hAnsi="Times New Roman" w:cs="Times New Roman"/>
          <w:sz w:val="28"/>
          <w:szCs w:val="28"/>
          <w:lang w:val="kk-KZ" w:eastAsia="ru-RU"/>
        </w:rPr>
      </w:pPr>
      <w:r w:rsidRPr="00B47E64">
        <w:rPr>
          <w:rFonts w:ascii="Times New Roman" w:eastAsia="Times New Roman" w:hAnsi="Times New Roman" w:cs="Times New Roman"/>
          <w:sz w:val="28"/>
          <w:szCs w:val="28"/>
          <w:lang w:val="kk-KZ" w:eastAsia="ru-RU"/>
        </w:rPr>
        <w:t>1 – су тұтыну графигі . 2 – I көтеру сорғыш бекетінің жұмыс графигі 3 – II көтеру сорғыш бекетінің жұмыс графигі.</w:t>
      </w:r>
    </w:p>
    <w:p w:rsidR="00B47E64" w:rsidRPr="00B47E64" w:rsidRDefault="00B47E64" w:rsidP="00B47E64">
      <w:pPr>
        <w:spacing w:after="0" w:line="240" w:lineRule="auto"/>
        <w:ind w:firstLine="708"/>
        <w:rPr>
          <w:rFonts w:ascii="Times New Roman" w:eastAsia="Times New Roman" w:hAnsi="Times New Roman" w:cs="Times New Roman"/>
          <w:sz w:val="28"/>
          <w:szCs w:val="28"/>
          <w:lang w:val="kk-KZ" w:eastAsia="ru-RU"/>
        </w:rPr>
      </w:pPr>
    </w:p>
    <w:p w:rsidR="00B47E64" w:rsidRPr="00B47E64" w:rsidRDefault="00B47E64" w:rsidP="00B47E64">
      <w:pPr>
        <w:spacing w:after="0" w:line="240" w:lineRule="auto"/>
        <w:ind w:firstLine="708"/>
        <w:jc w:val="both"/>
        <w:rPr>
          <w:rFonts w:ascii="Times New Roman" w:eastAsia="Times New Roman" w:hAnsi="Times New Roman" w:cs="Times New Roman"/>
          <w:sz w:val="28"/>
          <w:szCs w:val="28"/>
          <w:lang w:val="kk-KZ" w:eastAsia="ru-RU"/>
        </w:rPr>
      </w:pPr>
      <w:r w:rsidRPr="00B47E64">
        <w:rPr>
          <w:rFonts w:ascii="Times New Roman" w:eastAsia="Times New Roman" w:hAnsi="Times New Roman" w:cs="Times New Roman"/>
          <w:sz w:val="28"/>
          <w:szCs w:val="28"/>
          <w:lang w:val="kk-KZ" w:eastAsia="ru-RU"/>
        </w:rPr>
        <w:t>Су қабылдаушы ғимараттардың, 1-ші көтеру сорғыш станцияның және тазартқыш ғимараттардың жұмыс тәртібі көбінесе біркелкі болады. Бұл тәртіп бойынша 1-ші көтеру станцияның сорғыштары орташа сағат шығынды жіберіп тұрады</w:t>
      </w:r>
      <w:r>
        <w:rPr>
          <w:rFonts w:ascii="Times New Roman" w:eastAsia="Times New Roman" w:hAnsi="Times New Roman" w:cs="Times New Roman"/>
          <w:sz w:val="28"/>
          <w:szCs w:val="28"/>
          <w:lang w:val="kk-KZ" w:eastAsia="ru-RU"/>
        </w:rPr>
        <w:t xml:space="preserve"> </w:t>
      </w:r>
      <w:r w:rsidRPr="00B47E64">
        <w:rPr>
          <w:rFonts w:ascii="Times New Roman" w:eastAsia="Times New Roman" w:hAnsi="Times New Roman" w:cs="Times New Roman"/>
          <w:sz w:val="28"/>
          <w:szCs w:val="28"/>
          <w:lang w:val="kk-KZ" w:eastAsia="ru-RU"/>
        </w:rPr>
        <w:t>(2.1 – суреттегі 1-мен белгіленген сызық). 2-ші көтеру станциядағы сорғыштардың су жіберу тәртібі су тұтыну графигінен онша айырмашылығы болмау керек, сол үшін бұл станцияның жұмыс тәртібін сатылы түрде қабылдайды. Бұл тәртіп бойынша максималды су тұтыну сағаттарда сорғыш станция судың қажетті санынан азырақ жібереді, ал минималды су тұтыну сағаттарда сорғыштардың жіберуі тұтынудан асып түседі. Бірінші жағдайда судың кемдігін арынды су мұнарадан жіберілетін шығынмен орнын толтырады, ал екінші жағдайда судың артығы резервуарда жиналады. Сөйтіп жүйеде екі түрлі реттеуші қондырғы бар, біреуі мұнара, біреуі резервуар. 2-ші көтеру сорғыш станцияның жұмыс графигі су тұтыну графигіне жақындаған сайын арынды су мұнараның реттеу көлемі өзгере береді. Бұл графиктердің жақындауына жету үшін сорғыш станцияның жұмыс графигінің сатыларын көбейту керек, ол үшін қосымша сорғыштарды орналастырады.</w:t>
      </w:r>
    </w:p>
    <w:p w:rsidR="00B47E64" w:rsidRPr="00B47E64" w:rsidRDefault="00B47E64" w:rsidP="00B47E64">
      <w:pPr>
        <w:spacing w:after="0" w:line="240" w:lineRule="auto"/>
        <w:ind w:firstLine="708"/>
        <w:jc w:val="both"/>
        <w:rPr>
          <w:rFonts w:ascii="Times New Roman" w:eastAsia="Times New Roman" w:hAnsi="Times New Roman" w:cs="Times New Roman"/>
          <w:sz w:val="28"/>
          <w:szCs w:val="28"/>
          <w:lang w:val="kk-KZ" w:eastAsia="ru-RU"/>
        </w:rPr>
      </w:pPr>
      <w:r w:rsidRPr="00B47E64">
        <w:rPr>
          <w:rFonts w:ascii="Times New Roman" w:eastAsia="Times New Roman" w:hAnsi="Times New Roman" w:cs="Times New Roman"/>
          <w:sz w:val="28"/>
          <w:szCs w:val="28"/>
          <w:lang w:val="kk-KZ" w:eastAsia="ru-RU"/>
        </w:rPr>
        <w:t xml:space="preserve">Су қабылдаушы ғимараттарды тазарқыш ғимараттармен және таза су резервуарымен жалғастырушы құбырлардың жұмыс тәртібі 1-ші көтеру сорғыш станцияның жұмыс тәртібімен қамтамасыз етіледі. Таза су резервуарынан арынды су мұнараға суды жеткізетін құбырлардың жұмыс тәртібі 2-ші көтеру сорғыш станцияның жұмыс тәртібіне, ал мұнарадан қалаға </w:t>
      </w:r>
      <w:r w:rsidRPr="00B47E64">
        <w:rPr>
          <w:rFonts w:ascii="Times New Roman" w:eastAsia="Times New Roman" w:hAnsi="Times New Roman" w:cs="Times New Roman"/>
          <w:sz w:val="28"/>
          <w:szCs w:val="28"/>
          <w:lang w:val="kk-KZ" w:eastAsia="ru-RU"/>
        </w:rPr>
        <w:lastRenderedPageBreak/>
        <w:t>дейінгі учаскедегі құбырлардың жұмысы су тұтыну тәртібіне байланысты. Арынды су мұнараның жұмыс жағдайы қаланың су тұтыну графигіне байланысты, ал оның багінің көлемі су тұтыну графигін 2-ші көтеру сорғыш станцияның жұмыс графигімен қосарлану жолымен анықталады.</w:t>
      </w:r>
    </w:p>
    <w:p w:rsidR="00B47E64" w:rsidRPr="00B47E64" w:rsidRDefault="00B47E64" w:rsidP="00B47E64">
      <w:pPr>
        <w:spacing w:after="0" w:line="240" w:lineRule="auto"/>
        <w:ind w:firstLine="708"/>
        <w:jc w:val="both"/>
        <w:rPr>
          <w:rFonts w:ascii="Times New Roman" w:eastAsia="Times New Roman" w:hAnsi="Times New Roman" w:cs="Times New Roman"/>
          <w:sz w:val="28"/>
          <w:szCs w:val="28"/>
          <w:lang w:val="kk-KZ" w:eastAsia="ru-RU"/>
        </w:rPr>
      </w:pPr>
      <w:r w:rsidRPr="00B47E64">
        <w:rPr>
          <w:rFonts w:ascii="Times New Roman" w:eastAsia="Times New Roman" w:hAnsi="Times New Roman" w:cs="Times New Roman"/>
          <w:sz w:val="28"/>
          <w:szCs w:val="28"/>
          <w:lang w:val="kk-KZ" w:eastAsia="ru-RU"/>
        </w:rPr>
        <w:t xml:space="preserve">Ғимараттардың жұмыс тәртібімен олардың шығындарының өзара байланысымен бірге жүйедегі арындардың да өзара байланысы бар. Сорғыш станцияның арттыратын арыны құбырлармен судың қозғалуында пайда болатын жоғалған арынның орнын толтырып ең жоғарғы орналасқан үлестіру нүктеге суды көтеру керек. Тұтынушыларды сумен жабдықтауға қажетті тораптың түйіндеріндегі арын </w:t>
      </w:r>
      <w:r w:rsidRPr="00B47E64">
        <w:rPr>
          <w:rFonts w:ascii="Times New Roman" w:eastAsia="Times New Roman" w:hAnsi="Times New Roman" w:cs="Times New Roman"/>
          <w:b/>
          <w:sz w:val="28"/>
          <w:szCs w:val="28"/>
          <w:lang w:val="kk-KZ" w:eastAsia="ru-RU"/>
        </w:rPr>
        <w:t>қажетті еркін арын</w:t>
      </w:r>
      <w:r w:rsidRPr="00B47E64">
        <w:rPr>
          <w:rFonts w:ascii="Times New Roman" w:eastAsia="Times New Roman" w:hAnsi="Times New Roman" w:cs="Times New Roman"/>
          <w:sz w:val="28"/>
          <w:szCs w:val="28"/>
          <w:lang w:val="kk-KZ" w:eastAsia="ru-RU"/>
        </w:rPr>
        <w:t xml:space="preserve"> деп атайды. Қажетті еркін арынның мөлшері үйлердің қабаттарының санына байланысты қабылданады. Елді мекеннің су торабында максималды шаруашылық – ауыз су тұтынуда минималды еркін арын үйге енгізуде жер бетінен бір қабатты үйлерге 10 м-ден кем болмау керек, көп қабатты үймереттер үшін әр қабатқа 4-м </w:t>
      </w:r>
      <w:r w:rsidRPr="00B47E64">
        <w:rPr>
          <w:rFonts w:ascii="Times New Roman" w:eastAsia="Times New Roman" w:hAnsi="Times New Roman" w:cs="Times New Roman"/>
          <w:iCs/>
          <w:spacing w:val="3"/>
          <w:sz w:val="28"/>
          <w:szCs w:val="28"/>
          <w:lang w:val="kk-KZ" w:eastAsia="ru-RU"/>
        </w:rPr>
        <w:t xml:space="preserve">су бағаны </w:t>
      </w:r>
      <w:r w:rsidRPr="00B47E64">
        <w:rPr>
          <w:rFonts w:ascii="Times New Roman" w:eastAsia="Times New Roman" w:hAnsi="Times New Roman" w:cs="Times New Roman"/>
          <w:sz w:val="28"/>
          <w:szCs w:val="28"/>
          <w:lang w:val="kk-KZ" w:eastAsia="ru-RU"/>
        </w:rPr>
        <w:t>қосылып тұрады.</w:t>
      </w:r>
    </w:p>
    <w:p w:rsidR="00B47E64" w:rsidRPr="00B47E64" w:rsidRDefault="00B47E64" w:rsidP="00B47E64">
      <w:pPr>
        <w:shd w:val="clear" w:color="auto" w:fill="FFFFFF"/>
        <w:spacing w:before="34" w:after="0" w:line="240" w:lineRule="auto"/>
        <w:ind w:left="29" w:firstLine="336"/>
        <w:jc w:val="both"/>
        <w:rPr>
          <w:rFonts w:ascii="Times New Roman" w:eastAsia="Times New Roman" w:hAnsi="Times New Roman" w:cs="Times New Roman"/>
          <w:sz w:val="28"/>
          <w:szCs w:val="28"/>
          <w:lang w:val="kk-KZ" w:eastAsia="ru-RU"/>
        </w:rPr>
      </w:pPr>
    </w:p>
    <w:p w:rsidR="00B47E64" w:rsidRPr="00B47E64" w:rsidRDefault="00B47E64" w:rsidP="00B47E64">
      <w:pPr>
        <w:shd w:val="clear" w:color="auto" w:fill="FFFFFF"/>
        <w:spacing w:before="58" w:after="0" w:line="240" w:lineRule="auto"/>
        <w:ind w:left="29" w:right="2285" w:firstLine="2338"/>
        <w:rPr>
          <w:rFonts w:ascii="Times New Roman" w:eastAsia="Times New Roman" w:hAnsi="Times New Roman" w:cs="Times New Roman"/>
          <w:sz w:val="28"/>
          <w:szCs w:val="28"/>
          <w:lang w:val="kk-KZ" w:eastAsia="ru-RU"/>
        </w:rPr>
      </w:pPr>
      <w:r w:rsidRPr="00B47E64">
        <w:rPr>
          <w:rFonts w:ascii="Times New Roman" w:eastAsia="Times New Roman" w:hAnsi="Times New Roman" w:cs="Times New Roman"/>
          <w:sz w:val="28"/>
          <w:szCs w:val="28"/>
          <w:lang w:val="kk-KZ" w:eastAsia="ru-RU"/>
        </w:rPr>
        <w:t>H</w:t>
      </w:r>
      <w:r w:rsidRPr="00B47E64">
        <w:rPr>
          <w:rFonts w:ascii="Times New Roman" w:eastAsia="Times New Roman" w:hAnsi="Times New Roman" w:cs="Times New Roman"/>
          <w:sz w:val="28"/>
          <w:szCs w:val="28"/>
          <w:vertAlign w:val="subscript"/>
          <w:lang w:val="kk-KZ" w:eastAsia="ru-RU"/>
        </w:rPr>
        <w:t xml:space="preserve">ер..қажет </w:t>
      </w:r>
      <w:r w:rsidRPr="00B47E64">
        <w:rPr>
          <w:rFonts w:ascii="Times New Roman" w:eastAsia="Times New Roman" w:hAnsi="Times New Roman" w:cs="Times New Roman"/>
          <w:sz w:val="28"/>
          <w:szCs w:val="28"/>
          <w:lang w:val="kk-KZ" w:eastAsia="ru-RU"/>
        </w:rPr>
        <w:t xml:space="preserve">= </w:t>
      </w:r>
      <w:r w:rsidRPr="00B47E64">
        <w:rPr>
          <w:rFonts w:ascii="Times New Roman" w:eastAsia="Times New Roman" w:hAnsi="Times New Roman" w:cs="Times New Roman"/>
          <w:spacing w:val="34"/>
          <w:sz w:val="28"/>
          <w:szCs w:val="28"/>
          <w:lang w:val="kk-KZ" w:eastAsia="ru-RU"/>
        </w:rPr>
        <w:t>4(п-</w:t>
      </w:r>
      <w:r w:rsidRPr="00B47E64">
        <w:rPr>
          <w:rFonts w:ascii="Times New Roman" w:eastAsia="Times New Roman" w:hAnsi="Times New Roman" w:cs="Times New Roman"/>
          <w:sz w:val="28"/>
          <w:szCs w:val="28"/>
          <w:lang w:val="kk-KZ" w:eastAsia="ru-RU"/>
        </w:rPr>
        <w:t>1) + 10</w:t>
      </w:r>
    </w:p>
    <w:p w:rsidR="00B47E64" w:rsidRPr="00B47E64" w:rsidRDefault="00B47E64" w:rsidP="00B47E64">
      <w:pPr>
        <w:shd w:val="clear" w:color="auto" w:fill="FFFFFF"/>
        <w:spacing w:before="58" w:after="0" w:line="240" w:lineRule="auto"/>
        <w:ind w:left="29" w:right="2285" w:firstLine="2338"/>
        <w:rPr>
          <w:rFonts w:ascii="Times New Roman" w:eastAsia="Times New Roman" w:hAnsi="Times New Roman" w:cs="Times New Roman"/>
          <w:sz w:val="16"/>
          <w:szCs w:val="16"/>
          <w:lang w:val="kk-KZ" w:eastAsia="ru-RU"/>
        </w:rPr>
      </w:pPr>
    </w:p>
    <w:p w:rsidR="00B47E64" w:rsidRPr="00B47E64" w:rsidRDefault="00B47E64" w:rsidP="00B47E64">
      <w:pPr>
        <w:shd w:val="clear" w:color="auto" w:fill="FFFFFF"/>
        <w:spacing w:before="58" w:after="0" w:line="240" w:lineRule="auto"/>
        <w:ind w:right="2285" w:firstLine="34"/>
        <w:jc w:val="both"/>
        <w:rPr>
          <w:rFonts w:ascii="Times New Roman" w:eastAsia="Times New Roman" w:hAnsi="Times New Roman" w:cs="Times New Roman"/>
          <w:sz w:val="28"/>
          <w:szCs w:val="28"/>
          <w:lang w:val="kk-KZ" w:eastAsia="ru-RU"/>
        </w:rPr>
      </w:pPr>
      <w:r w:rsidRPr="00B47E64">
        <w:rPr>
          <w:rFonts w:ascii="Times New Roman" w:eastAsia="Times New Roman" w:hAnsi="Times New Roman" w:cs="Times New Roman"/>
          <w:sz w:val="28"/>
          <w:szCs w:val="28"/>
          <w:lang w:val="kk-KZ" w:eastAsia="ru-RU"/>
        </w:rPr>
        <w:t xml:space="preserve">    мұндағы,  </w:t>
      </w:r>
      <w:r w:rsidRPr="00B47E64">
        <w:rPr>
          <w:rFonts w:ascii="Times New Roman" w:eastAsia="Times New Roman" w:hAnsi="Times New Roman" w:cs="Times New Roman"/>
          <w:i/>
          <w:iCs/>
          <w:sz w:val="28"/>
          <w:szCs w:val="28"/>
          <w:lang w:val="kk-KZ" w:eastAsia="ru-RU"/>
        </w:rPr>
        <w:t xml:space="preserve">п </w:t>
      </w:r>
      <w:r w:rsidRPr="00B47E64">
        <w:rPr>
          <w:rFonts w:ascii="Times New Roman" w:eastAsia="Times New Roman" w:hAnsi="Times New Roman" w:cs="Times New Roman"/>
          <w:sz w:val="28"/>
          <w:szCs w:val="28"/>
          <w:lang w:val="kk-KZ" w:eastAsia="ru-RU"/>
        </w:rPr>
        <w:t>— қабат саны.</w:t>
      </w:r>
    </w:p>
    <w:p w:rsidR="00B47E64" w:rsidRPr="00B47E64" w:rsidRDefault="00B47E64" w:rsidP="00B47E64">
      <w:pPr>
        <w:shd w:val="clear" w:color="auto" w:fill="FFFFFF"/>
        <w:spacing w:before="43" w:after="0" w:line="240" w:lineRule="auto"/>
        <w:ind w:left="34" w:right="19" w:firstLine="312"/>
        <w:jc w:val="both"/>
        <w:rPr>
          <w:rFonts w:ascii="Times New Roman" w:eastAsia="Times New Roman" w:hAnsi="Times New Roman" w:cs="Times New Roman"/>
          <w:sz w:val="28"/>
          <w:szCs w:val="28"/>
          <w:lang w:val="kk-KZ" w:eastAsia="ru-RU"/>
        </w:rPr>
      </w:pPr>
      <w:r w:rsidRPr="00B47E64">
        <w:rPr>
          <w:rFonts w:ascii="Times New Roman" w:eastAsia="Times New Roman" w:hAnsi="Times New Roman" w:cs="Times New Roman"/>
          <w:spacing w:val="4"/>
          <w:sz w:val="28"/>
          <w:szCs w:val="28"/>
          <w:lang w:val="kk-KZ" w:eastAsia="ru-RU"/>
        </w:rPr>
        <w:t xml:space="preserve">Арыны 60 м су бағаны жеткіліксіз жеке биік үймереттер немесе үймереттер тобы үшін  арынды жоғарлатқыш жергілікті қондырғылар қолданылады. Су үлестіруші бағандар (колонкалар) желісінде еркін арын 10 м су бағанынан аз болмау қажет. </w:t>
      </w:r>
    </w:p>
    <w:p w:rsidR="00B47E64" w:rsidRPr="00B47E64" w:rsidRDefault="00B47E64" w:rsidP="00B47E64">
      <w:pPr>
        <w:shd w:val="clear" w:color="auto" w:fill="FFFFFF"/>
        <w:spacing w:after="0" w:line="240" w:lineRule="auto"/>
        <w:ind w:left="5" w:right="29" w:firstLine="312"/>
        <w:jc w:val="both"/>
        <w:rPr>
          <w:rFonts w:ascii="Times New Roman" w:eastAsia="Times New Roman" w:hAnsi="Times New Roman" w:cs="Times New Roman"/>
          <w:color w:val="FF0000"/>
          <w:sz w:val="28"/>
          <w:szCs w:val="28"/>
          <w:lang w:val="kk-KZ" w:eastAsia="ru-RU"/>
        </w:rPr>
      </w:pPr>
      <w:r w:rsidRPr="00B47E64">
        <w:rPr>
          <w:rFonts w:ascii="Times New Roman" w:eastAsia="Times New Roman" w:hAnsi="Times New Roman" w:cs="Times New Roman"/>
          <w:iCs/>
          <w:spacing w:val="2"/>
          <w:sz w:val="28"/>
          <w:szCs w:val="28"/>
          <w:lang w:val="kk-KZ" w:eastAsia="ru-RU"/>
        </w:rPr>
        <w:t xml:space="preserve">Біріктірілген (шаруашылық ауыз суы және өртке қарсы) су өткізуші желіде су тұтынушыда ең үлкен арын 60 м су бағанынан аспау қажет. Жеке ғимараттар үшін немесе аймақтар үшін  бұл қысым артық болған жағдайда қысымды реттеуіштер   немесе су өткізу жүйесін аймаққа бөлу қарастырылады. Өндірістік кәсіпорындар үшін төменгі арын өндіріс технологиясына және қондырғы сипатына байланысты кәсіпорын технологтарының мәліметтері бойынша алынады.    </w:t>
      </w:r>
    </w:p>
    <w:p w:rsidR="00B47E64" w:rsidRPr="00B47E64" w:rsidRDefault="00B47E64" w:rsidP="00B47E64">
      <w:pPr>
        <w:shd w:val="clear" w:color="auto" w:fill="FFFFFF"/>
        <w:spacing w:before="5" w:after="0" w:line="240" w:lineRule="auto"/>
        <w:ind w:right="43" w:firstLine="341"/>
        <w:jc w:val="both"/>
        <w:rPr>
          <w:rFonts w:ascii="Times New Roman" w:eastAsia="Times New Roman" w:hAnsi="Times New Roman" w:cs="Times New Roman"/>
          <w:sz w:val="28"/>
          <w:szCs w:val="24"/>
          <w:lang w:val="kk-KZ" w:eastAsia="ru-RU"/>
        </w:rPr>
      </w:pPr>
      <w:r w:rsidRPr="00B47E64">
        <w:rPr>
          <w:rFonts w:ascii="Times New Roman" w:eastAsia="Times New Roman" w:hAnsi="Times New Roman" w:cs="Times New Roman"/>
          <w:spacing w:val="2"/>
          <w:sz w:val="28"/>
          <w:szCs w:val="28"/>
          <w:lang w:val="kk-KZ" w:eastAsia="ru-RU"/>
        </w:rPr>
        <w:t xml:space="preserve">Төменгі қысымды  өрт өшіру жүйесінде, елді мекен үшін ұсынылатын желіде орнатылатын өрт гидранттарындағы еркін арын 10 м кем болмау керек. </w:t>
      </w:r>
    </w:p>
    <w:p w:rsidR="00B47E64" w:rsidRPr="00B47E64" w:rsidRDefault="00B47E64" w:rsidP="00B47E64">
      <w:pPr>
        <w:spacing w:after="0" w:line="240" w:lineRule="auto"/>
        <w:ind w:firstLine="708"/>
        <w:jc w:val="both"/>
        <w:rPr>
          <w:rFonts w:ascii="Times New Roman" w:eastAsia="Times New Roman" w:hAnsi="Times New Roman" w:cs="Times New Roman"/>
          <w:sz w:val="28"/>
          <w:szCs w:val="28"/>
          <w:lang w:val="kk-KZ" w:eastAsia="ru-RU"/>
        </w:rPr>
      </w:pPr>
    </w:p>
    <w:p w:rsidR="00B47E64" w:rsidRPr="00B47E64" w:rsidRDefault="00B47E64" w:rsidP="00B47E64">
      <w:pPr>
        <w:shd w:val="clear" w:color="auto" w:fill="FFFFFF"/>
        <w:spacing w:before="5" w:after="0" w:line="240" w:lineRule="auto"/>
        <w:ind w:right="43" w:firstLine="341"/>
        <w:jc w:val="both"/>
        <w:rPr>
          <w:rFonts w:ascii="Times New Roman" w:eastAsia="Times New Roman" w:hAnsi="Times New Roman" w:cs="Times New Roman"/>
          <w:b/>
          <w:color w:val="000000"/>
          <w:sz w:val="28"/>
          <w:szCs w:val="28"/>
          <w:lang w:val="kk-KZ" w:eastAsia="ru-RU"/>
        </w:rPr>
      </w:pPr>
    </w:p>
    <w:p w:rsidR="00B47E64" w:rsidRPr="00B47E64" w:rsidRDefault="00B47E64" w:rsidP="00B47E64">
      <w:pPr>
        <w:shd w:val="clear" w:color="auto" w:fill="FFFFFF"/>
        <w:spacing w:before="5" w:after="0" w:line="240" w:lineRule="auto"/>
        <w:ind w:right="43" w:firstLine="341"/>
        <w:jc w:val="both"/>
        <w:rPr>
          <w:rFonts w:ascii="Times New Roman" w:eastAsia="Times New Roman" w:hAnsi="Times New Roman" w:cs="Times New Roman"/>
          <w:b/>
          <w:color w:val="000000"/>
          <w:sz w:val="28"/>
          <w:szCs w:val="28"/>
          <w:lang w:val="kk-KZ" w:eastAsia="ru-RU"/>
        </w:rPr>
      </w:pPr>
    </w:p>
    <w:p w:rsidR="00B47E64" w:rsidRPr="00B47E64" w:rsidRDefault="00B47E64" w:rsidP="00B47E64">
      <w:pPr>
        <w:shd w:val="clear" w:color="auto" w:fill="FFFFFF"/>
        <w:spacing w:before="5" w:after="0" w:line="240" w:lineRule="auto"/>
        <w:ind w:right="43" w:firstLine="341"/>
        <w:jc w:val="both"/>
        <w:rPr>
          <w:rFonts w:ascii="Times New Roman" w:eastAsia="Times New Roman" w:hAnsi="Times New Roman" w:cs="Times New Roman"/>
          <w:b/>
          <w:color w:val="000000"/>
          <w:sz w:val="28"/>
          <w:szCs w:val="28"/>
          <w:lang w:val="kk-KZ" w:eastAsia="ru-RU"/>
        </w:rPr>
      </w:pPr>
    </w:p>
    <w:p w:rsidR="00B47E64" w:rsidRPr="00B47E64" w:rsidRDefault="00B47E64" w:rsidP="00B47E64">
      <w:pPr>
        <w:shd w:val="clear" w:color="auto" w:fill="FFFFFF"/>
        <w:spacing w:before="5" w:after="0" w:line="240" w:lineRule="auto"/>
        <w:ind w:right="43" w:firstLine="341"/>
        <w:jc w:val="both"/>
        <w:rPr>
          <w:rFonts w:ascii="Times New Roman" w:eastAsia="Times New Roman" w:hAnsi="Times New Roman" w:cs="Times New Roman"/>
          <w:b/>
          <w:color w:val="000000"/>
          <w:sz w:val="28"/>
          <w:szCs w:val="28"/>
          <w:lang w:val="kk-KZ" w:eastAsia="ru-RU"/>
        </w:rPr>
      </w:pPr>
    </w:p>
    <w:p w:rsidR="00DE509A" w:rsidRPr="00B47E64" w:rsidRDefault="00DE509A">
      <w:pPr>
        <w:rPr>
          <w:lang w:val="kk-KZ"/>
        </w:rPr>
      </w:pPr>
    </w:p>
    <w:sectPr w:rsidR="00DE509A" w:rsidRPr="00B47E64">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24EE0"/>
    <w:rsid w:val="00124EE0"/>
    <w:rsid w:val="00B47E64"/>
    <w:rsid w:val="00DE509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3A03459-50AE-488F-9DB8-FEFC30A704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2</Pages>
  <Words>554</Words>
  <Characters>3164</Characters>
  <Application>Microsoft Office Word</Application>
  <DocSecurity>0</DocSecurity>
  <Lines>26</Lines>
  <Paragraphs>7</Paragraphs>
  <ScaleCrop>false</ScaleCrop>
  <Company/>
  <LinksUpToDate>false</LinksUpToDate>
  <CharactersWithSpaces>3711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2020-07-24T08:53:00Z</dcterms:created>
  <dcterms:modified xsi:type="dcterms:W3CDTF">2020-07-24T08:57:00Z</dcterms:modified>
</cp:coreProperties>
</file>